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62" w:rsidRPr="00B051AC" w:rsidRDefault="006B25FA" w:rsidP="006B25FA">
      <w:pPr>
        <w:pStyle w:val="Standard"/>
        <w:jc w:val="center"/>
        <w:rPr>
          <w:rFonts w:cs="Times New Roman"/>
          <w:color w:val="000000" w:themeColor="text1"/>
          <w:sz w:val="22"/>
          <w:szCs w:val="22"/>
          <w:lang w:val="ru-RU"/>
        </w:rPr>
      </w:pPr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ГОСТ 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Р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51511-2001 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ГОСУДАРСТВЕННЫЙ СТАНДАРТ РОССИЙСКОЙ ФЕДЕРАЦИИ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"ПЕЧАТИ С ВОСПРОИЗВЕДЕНИЕМ ГОСУДАРСТВЕННОГО ГЕРБА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РОССИЙСКОЙ ФЕДЕРАЦИИ"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Форма, размеры и технические требования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Издание официальное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ГОССТАНДАРТ РОССИИ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Москва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Предисловие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 xml:space="preserve">1. 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РАЗРАБОТАН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Всероссийским научно-исследовательским институтом полиграфии (ОАО ИНПОЛ), ВНЕСЕН Научно-техническим управлением Госстандарта России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2. ПРИНЯТ И ВВЕДЕН В ДЕЙСТВИЕ Постановлением Госстандарта России от 25 декабря 2001 г. № 573-ст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 xml:space="preserve">3. ВВЕДЕН ВПЕРВЫЕ </w:t>
      </w:r>
      <w:proofErr w:type="spell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c</w:t>
      </w:r>
      <w:proofErr w:type="spell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ИПК Издательство стандартов, 2002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Госстандарта России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Дата введения: 1 июля 2002 года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1. Область применения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Настоящий стандарт устанавливает форму, размеры и технические требования к печатям с воспроизведением Государственного герба Российской Федерации.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2. Определения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В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настоящем стандарте применяют следующие термины с соответствующими определениями: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2.1 печать: Устройство, содержащее клише печати для нанесения оттисков на бумагу.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2.2 оттиск: Изображение клише печати на бумаге.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2.3 клише печати: Элемент печати, содержащий зеркальное отображение оттиска печати.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2.4 мастичная печать: Печать, обеспечивающая нанесение оттиска штемпельной краской.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2.5 печать с воспроизведением Государственного герба Российской Федерации: Печать, имеющая в центре клише печати зеркальное отображение Государственного герба Российской Федерации.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2.6 штемпельная краска: Специальное красящее вещество, предназначенное для нанесения оттисков на бумагу с помощью клише печати.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2.7 штемпельная подушка: материал, несущий в своем объеме штемпельную краску, которая переносится на печатающие элементы клише печати при его контакте со штемпельной подушкой.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2.8 печатающий элемент: Участок клише печати, воспринимающий штемпельную краску и передающий ее па бумагу.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 xml:space="preserve">2.9 пробельный элемент: 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Участок клише печати, не воспринимающий штемпельную краску и не передающий ее на бумагу.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3 Технические требования к печатям с воспроизведением Государственного герба Российской Федерации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3.1 Клише печати с воспроизведением Государственного герба Российской Федерации изготавливают круглой формы (рисунок 1).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3.2 Минимальный диаметр клише печати с воспроизведением Государственного герба Российской Федерации - 40" мм, максимальный диаметр - 45_1 мм.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По внешнему кольцу клише печати ограничивается ободом толщиной 1.3"1"0'1 мм, на котором располагается микротекст в негативном начертании (белый текст па черном фоне), микротекст состоит из повторяющейся записи, включающей слово сертификат с указанием его номера, а также другой информации, определяемой изготовителем печати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Сертификат должен подтверждать наличие у изготовителя печати технических и технологических возможностей для изготовления указанного вида продукции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на должном качественном уровне.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3.3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В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центре клише печати располагается зеркальное изображение Государственного герба Российской Федерации.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3.3.1 Изображение Государственного герба Российской Федерации для изготовления печатей с воспроизведением Государственного герба Российской Федерации представляется в цифровом закодированном виде и используется полиграфическими и штемпельно-граверными предприятиями, аккредитованными на возможность изготовления печатей с воспроизведением Государственного герба российской Федерации.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При воспроизведении Государственного герба Российской Федерации допускаются его изменения только в части линейного масштаба, минимальный размер изображения Государственного герба 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lastRenderedPageBreak/>
        <w:t>Российской Федерации должен вписываться в окружность диаметром 14+1 мм.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3.3.2 Криптозащита файла изображения, применяемая при использовании цифрового изображения Государственного герба Российской Федерации, а также используемое программное обеспечение при макетировании и формировании клише печати должны исключать возможность извлечения цифрового изображения Государственного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герба Российской Федерации.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3.4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В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округ Государственного герба Российской Федерации на расстоянии 1_0дмм располагается по окружности микротекст в позитивном начертании (черный текст на белом фоне). Микроте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кст вкл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>ючает информацию о заказчике печати с содержанием идентификационного налогового номера (ИНН ХХХХХХХХХХ), а также по его усмотрению, код по Общероссийскому классификатору предприятий и организаций (ОКПО ХХХХХХХХ) и т.п. На рисунке 1 для примера показан повторяющийся и ограниченный символами * идентификационный налоговый номер заказчика печати.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3.5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М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ежду микротекстами с позитивным и негативным начертаниями по часовой стрелке и симметрично относительно вертикальной оси клише печати располагаются концентрические строки информационного поля, содержащие полное наименование юридического лица в именительном падеже, в скобках - его краткое наименование (если таковое имеется), и основной государственный регистрационный номер (ОГРН 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ХХХХХХХХХХХХХ) заказчика печати согласно записи в Едином государственном реестре юридических лиц.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Наименование юридического лица должно соответствовать наименованию, закрепленному в учредительных документах. Сокращенное наименование приводится в тех случаях, когда оно закреплено в учредительных документах, и помещается в круглых скобках после полного наименования. На рисунке Наименование для примера приведено наименование Государственного комитет Российской Федерации по стандартизации и метрологии (Госстандарт России) как федерального органа исполнительной власти и его сокращенное наименование, а также ограниченный символами * основной государственный регистрационный номер заказчика (ОГРН ХХХХХХХХХХХХХ).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При налич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ии у ю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>ридического лица вышестоящей организации приводится ее краткое наименование, а при его отсутствии - полное наименование, которое располагается перед полным наименованием юридического лица. При этом в наименовании юридического лица допускается не повторять наименование вышестоящей организации.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В нижней части информационного поля против часовой стрелки симметрично относительно вертикальной оси клише печати размещается следующая вспомогательная информация о печати с воспроизведением Государственного герба Российской Федерации: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номер печати (если печать с воспроизведением Государственного герба Российской Федерации для данного юридического лица изготовлена не в единственном экземпляре), обозначаемый арабскими цифрами, начиная с цифры 2 для второй печати;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буква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Д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с записанным через дефис порядковым номером дубликата, начиная с римской цифры I для первого дубликата печати. Запись "2Д-И" означает, что оттиск произведен вторым дубликатом второй печати с воспроизведением Государственного герба Российской Федерации.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 xml:space="preserve">3.6 Печати с воспроизведением Государственного герба Российской Федерации должны быть изготовлены таким образом, чтобы при их проверке и использовании на документе оставался четкий оттиск всех элементов изображения. Насыщенность и цветовой тон всех участков оттиска должны быть равномерными. Не допускаются визуально различимые: выдавливание краски за края печатных элементов, </w:t>
      </w:r>
      <w:proofErr w:type="spell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недопечатки</w:t>
      </w:r>
      <w:proofErr w:type="spell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и </w:t>
      </w:r>
      <w:proofErr w:type="spell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непропечатки</w:t>
      </w:r>
      <w:proofErr w:type="spell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>, искажения деталей изображения на оттиске, а также смазывание и стирание.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3.7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В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оттиске должны проявляться все обязательные и дополнительные элементы изображения и защиты.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3.8 Специальные требования к упаковке, маркировке и транспортированию печатей с воспроизведением Государственного герба Российской Федерации не предъявляются.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4 Технические требования к сырью, материалам, покупным изделиям, используемым для изготовления и применения печатей с воспроизведением Государственного герба Российской Федерации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4.1 Требования к материалу для изготовления клише печати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4.1.1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П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>ри изготовлении клише печати используют резину, предназначенную для лазерной гравировки, или другие материалы с техническими показателями, соответствующими этой резине.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 xml:space="preserve">4.1.2 В резине для изготовления клише печати недопустимо присутствие раковин, визуально различимых в лупу с 15-кратным увеличением, визуально различимых вздутий, растрескиваний и коробления. Набухание резины в водно-спиртовых смесях не должно превышать 5 % массы при 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lastRenderedPageBreak/>
        <w:t>любых концентрациях спирта, относительное удлинение резины на разрыв должно быть не менее 200 %. Толщина резины для изготовления клише печати - не менее 2+0&gt;2 мм. Резина при обработке должна позволять гравировку на глубину от 0,25 до 1,8 мм.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4.2 Требования к штемпельной подушке и штемпельной краске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4.2.1 Штемпельная подушка и штемпельная краска должны обладать характеристиками, обеспечивающими выполнение требований настоящего стандарта.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4.2.2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П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ри получении оттиска на мелованной и немелованной бумаге впитывание и высыхание штемпельной краски на поверхности бумаги должно происходить не более чем за 10 с 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без остаточного </w:t>
      </w:r>
      <w:proofErr w:type="spell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отмарывания</w:t>
      </w:r>
      <w:proofErr w:type="spell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и обладать устойчивостью к смазыванию и стиранию.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4.2.3 Штемпельная краска после получения оттиска на мелованной и немелованной бумаге не должна изменять визуально различимую цветовую насыщенность при дневном свете и комнатной температуре в защищенном и не защищенном от прямых солнечных лучей месте, а также геометрические характеристики изображения и характеристики элементов защиты.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5 Технические требования к клише печати, изготовленной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из резины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 xml:space="preserve">5.1. 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Минимально допустимая высота букв шрифта на информационном поле клише печати 3+0'' мм, ширина штрихов знака шрифта - не менее 0,1+°'01 мм.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5.2 Угол наклона боковых поверхностей печатающих элементов по отношению к перпендикуляру к плоскости клише печати должен быть от 40° до 70°.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5.3 Глубина пробельных элементов соответствует размерам этих элементов согласно таблице 1.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Таблица 1 - Соотношение размера и глубины пробельных элементов в миллиметрах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Размер пробельного элемента Глубина пробельного элемента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О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>т 0,03 до 0,1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0,1 - 0,15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0,15 - 0,5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0,5 - 5,0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5,0 От 0,1 до 0,25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0,25 - 0,35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0,35 - 0,8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0,8 - 1,2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 xml:space="preserve">1,2 - 1,8 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 xml:space="preserve">5.4 После изготовления клише печати поверхность печатающих элементов должна быть гладкой. 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Если имеются царапины и рубцы, то они должны быть визуально различимы только через лупу 15-кратного увеличения.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6 Технические требования по защите печатей с воспроизведением Государственного герба Российской Федерации от подделки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6.1 Печати с воспроизведением Государственного герба Российской Федерации должны нести в себе не менее четырех обязательных элементов защиты от подделки.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6.2 Обязательными элементами защиты печатей с воспроизведением Государственного герба Российской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Федерации от подделки являются: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6.2.1 Микротексты типа "белый текст на черном фоне", расположенные по внешнему кольцу обода клише печати. Размер элементов микротекста от 0,5 до 0,8 мм.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6.2.2 Микротекст типа "черный текст на белом фоне", выполненный в виде разделительного кольца, отделяющего строки текста информационного поля от изображения Государственного герба Российской Федерации. Размер элементов микротекста от 0,5 до 0,8 мм.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6.2.3 Наличие линий толщиной 0,08+0-01 мм.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 xml:space="preserve">6.2.4 Наличие элементов с полутоновым растром с </w:t>
      </w:r>
      <w:proofErr w:type="spell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линеатурой</w:t>
      </w:r>
      <w:proofErr w:type="spell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не ниже 80 линий на сантиметр.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6.3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Д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ля повышения защиты от подделки печатей с воспроизведением Государственного герба Российской Федерации по требованию заказчика печати могут применяться дополнительные элементы защиты, в том числе: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 xml:space="preserve">6.3.1 Специально разработанные для текстовой части 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печатей шрифты, при этом допускается изменение отдельных букв шрифта, внесение в шрифт в контрольных точках печати дефектов, имитирующих естественные дефекты резины.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6.3.2 Визуально неразличимое изменение геометрических пропорций печати, придание им неправильной формы.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 xml:space="preserve">6.3.3 Внесение в изображение печати растровых полей с различными углами растрирования от 7° до 15°, </w:t>
      </w:r>
      <w:proofErr w:type="spell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линеатурой</w:t>
      </w:r>
      <w:proofErr w:type="spell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растра не менее 100 линий на сантиметр и плотностью не более 20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% с различной формой растровых точек.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lastRenderedPageBreak/>
        <w:t>6.3.4 Внесение в изображение печати скрытых элементов защиты, позволяющих идентифицировать изготовителя печати и устройство, на котором данная печать была изготовлена.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 xml:space="preserve">6.3.5 Использование радужных голограмм для нанесения Государственного герба Российской Федерации и окружности с микротекстом и </w:t>
      </w:r>
      <w:proofErr w:type="spell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кинеграммой</w:t>
      </w:r>
      <w:proofErr w:type="spell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. Устройство для их нанесения и клише печати должны быть объединены в одном техническом средстве, при этом оттиск печати и тиснение голограммы должны проводиться </w:t>
      </w:r>
      <w:proofErr w:type="spell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одномоментно</w:t>
      </w:r>
      <w:proofErr w:type="spell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. 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Предельно допустимая разность углов поворота изображения Государственного герба Российской Федерации с микротекстом относительно мастичного оттиска в любых оттисках на документах, изготовленных с помощью одного и того же технического средства, не должна превышать 0,5°. Нумерация голограмм должна быть выполнена лазерным нумератором.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6.4 Дополнительные средства защиты печатей с воспроизведением Государственного герба Российской Федерации от подделки не должны допускать возможности их воспроизведения на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устройствах с более низкой разрешающей способностью.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6.5 Разрешающая способность оборудования для изготовления печатей с воспроизведением Государственного герба Российской Федерации должна быть не менее 800 точек на сантиметр.</w:t>
      </w:r>
      <w:r w:rsidRPr="00B051AC">
        <w:rPr>
          <w:rFonts w:cs="Times New Roman"/>
          <w:color w:val="000000" w:themeColor="text1"/>
          <w:sz w:val="22"/>
          <w:szCs w:val="22"/>
          <w:lang w:val="ru-RU"/>
        </w:rPr>
        <w:br/>
        <w:t>6.6</w:t>
      </w:r>
      <w:proofErr w:type="gram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Д</w:t>
      </w:r>
      <w:proofErr w:type="gram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ля повышения сохранности оттисков печатей с воспроизведением Государственного герба Российской Федерации, в том числе передаваемых для архивного хранения, допускается </w:t>
      </w:r>
      <w:proofErr w:type="spellStart"/>
      <w:r w:rsidRPr="00B051AC">
        <w:rPr>
          <w:rFonts w:cs="Times New Roman"/>
          <w:color w:val="000000" w:themeColor="text1"/>
          <w:sz w:val="22"/>
          <w:szCs w:val="22"/>
          <w:lang w:val="ru-RU"/>
        </w:rPr>
        <w:t>ламинирование</w:t>
      </w:r>
      <w:proofErr w:type="spellEnd"/>
      <w:r w:rsidRPr="00B051AC">
        <w:rPr>
          <w:rFonts w:cs="Times New Roman"/>
          <w:color w:val="000000" w:themeColor="text1"/>
          <w:sz w:val="22"/>
          <w:szCs w:val="22"/>
          <w:lang w:val="ru-RU"/>
        </w:rPr>
        <w:t xml:space="preserve"> документов, на которых ставится такая печать.</w:t>
      </w:r>
    </w:p>
    <w:sectPr w:rsidR="00AD0362" w:rsidRPr="00B051AC" w:rsidSect="00AD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FA"/>
    <w:rsid w:val="005E6EE5"/>
    <w:rsid w:val="006B25FA"/>
    <w:rsid w:val="00AD0362"/>
    <w:rsid w:val="00B0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25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1947</Words>
  <Characters>11101</Characters>
  <Application>Microsoft Office Word</Application>
  <DocSecurity>0</DocSecurity>
  <Lines>92</Lines>
  <Paragraphs>26</Paragraphs>
  <ScaleCrop>false</ScaleCrop>
  <Company/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2017-06-18T17:24:00Z</dcterms:created>
  <dcterms:modified xsi:type="dcterms:W3CDTF">2017-06-18T17:27:00Z</dcterms:modified>
</cp:coreProperties>
</file>